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D538A1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178AD029" w14:textId="43CA0F8D" w:rsidR="00711E70" w:rsidRPr="00711E70" w:rsidRDefault="00711E70" w:rsidP="00D17521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11E70">
        <w:rPr>
          <w:rFonts w:ascii="Arial" w:hAnsi="Arial" w:cs="Arial"/>
          <w:b/>
          <w:color w:val="000000"/>
          <w:sz w:val="28"/>
          <w:szCs w:val="28"/>
        </w:rPr>
        <w:t>TRAVAUX DE R</w:t>
      </w:r>
      <w:r w:rsidR="00A20E55">
        <w:rPr>
          <w:rFonts w:ascii="Arial" w:hAnsi="Arial" w:cs="Arial"/>
          <w:b/>
          <w:color w:val="000000"/>
          <w:sz w:val="28"/>
          <w:szCs w:val="28"/>
        </w:rPr>
        <w:t>É</w:t>
      </w:r>
      <w:r w:rsidRPr="00711E70">
        <w:rPr>
          <w:rFonts w:ascii="Arial" w:hAnsi="Arial" w:cs="Arial"/>
          <w:b/>
          <w:color w:val="000000"/>
          <w:sz w:val="28"/>
          <w:szCs w:val="28"/>
        </w:rPr>
        <w:t xml:space="preserve">NOVATION </w:t>
      </w:r>
      <w:r w:rsidR="00D17521">
        <w:rPr>
          <w:rFonts w:ascii="Arial" w:hAnsi="Arial" w:cs="Arial"/>
          <w:b/>
          <w:color w:val="000000"/>
          <w:sz w:val="28"/>
          <w:szCs w:val="28"/>
        </w:rPr>
        <w:t>DU FOYER PIERRE DUX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3A4B09F2" w:rsidR="00B41AFF" w:rsidRPr="005A33B8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5A33B8">
        <w:rPr>
          <w:rStyle w:val="Times14GNoir"/>
          <w:rFonts w:ascii="Arial" w:hAnsi="Arial" w:cs="Arial"/>
          <w:szCs w:val="28"/>
        </w:rPr>
        <w:t xml:space="preserve">LOT </w:t>
      </w:r>
      <w:r w:rsidR="00CA3793" w:rsidRPr="005A33B8">
        <w:rPr>
          <w:rStyle w:val="Times14GNoir"/>
          <w:rFonts w:ascii="Arial" w:hAnsi="Arial" w:cs="Arial"/>
          <w:szCs w:val="28"/>
        </w:rPr>
        <w:t>N°</w:t>
      </w:r>
      <w:r w:rsidR="000B7D2C" w:rsidRPr="005A33B8">
        <w:rPr>
          <w:rStyle w:val="Times14GNoir"/>
          <w:rFonts w:ascii="Arial" w:hAnsi="Arial" w:cs="Arial"/>
          <w:szCs w:val="28"/>
        </w:rPr>
        <w:t>2</w:t>
      </w:r>
      <w:r w:rsidR="001B7DDA" w:rsidRPr="005A33B8">
        <w:rPr>
          <w:rStyle w:val="Times14GNoir"/>
          <w:rFonts w:ascii="Arial" w:hAnsi="Arial" w:cs="Arial"/>
          <w:szCs w:val="28"/>
        </w:rPr>
        <w:t xml:space="preserve"> </w:t>
      </w:r>
      <w:r w:rsidR="00C67316" w:rsidRPr="005A33B8">
        <w:rPr>
          <w:rStyle w:val="Times14GNoir"/>
          <w:rFonts w:ascii="Arial" w:hAnsi="Arial" w:cs="Arial"/>
          <w:szCs w:val="28"/>
        </w:rPr>
        <w:t xml:space="preserve">: </w:t>
      </w:r>
      <w:r w:rsidR="00E3018C" w:rsidRPr="005A33B8">
        <w:rPr>
          <w:rFonts w:ascii="Arial" w:hAnsi="Arial" w:cs="Arial"/>
          <w:b/>
          <w:color w:val="000000"/>
          <w:sz w:val="28"/>
          <w:szCs w:val="28"/>
        </w:rPr>
        <w:t xml:space="preserve">RESTAURATION DE DECORS – STAFF – STUC </w:t>
      </w:r>
      <w:r w:rsidR="00691D02" w:rsidRPr="005A33B8">
        <w:rPr>
          <w:rFonts w:ascii="Arial" w:hAnsi="Arial" w:cs="Arial"/>
          <w:b/>
          <w:color w:val="000000"/>
          <w:sz w:val="28"/>
          <w:szCs w:val="28"/>
        </w:rPr>
        <w:t xml:space="preserve">MARBRE </w:t>
      </w:r>
      <w:r w:rsidR="00CE4D45" w:rsidRPr="005A33B8">
        <w:rPr>
          <w:rFonts w:ascii="Arial" w:hAnsi="Arial" w:cs="Arial"/>
          <w:b/>
          <w:color w:val="000000"/>
          <w:sz w:val="28"/>
          <w:szCs w:val="28"/>
        </w:rPr>
        <w:t>– PEINTURE DECORATIVE</w:t>
      </w:r>
      <w:r w:rsidR="00ED5256" w:rsidRPr="005A33B8">
        <w:rPr>
          <w:rFonts w:ascii="Arial" w:hAnsi="Arial" w:cs="Arial"/>
          <w:b/>
          <w:color w:val="000000"/>
          <w:sz w:val="28"/>
          <w:szCs w:val="28"/>
        </w:rPr>
        <w:t xml:space="preserve"> -DORURE</w:t>
      </w:r>
    </w:p>
    <w:p w14:paraId="17851177" w14:textId="77777777" w:rsidR="00812A08" w:rsidRPr="005A33B8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7B89F609" w14:textId="1C6DEFEA" w:rsidR="00FD3433" w:rsidRPr="00DE181F" w:rsidRDefault="00FD3433" w:rsidP="00FD3433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0"/>
          <w:szCs w:val="20"/>
          <w:lang w:eastAsia="fr-FR"/>
        </w:rPr>
      </w:pP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Procédure adaptée ouverte passée en application des dispositions de l’article R.2123-1 du </w:t>
      </w:r>
      <w:r w:rsidR="004C60B7">
        <w:rPr>
          <w:rFonts w:ascii="Arial" w:hAnsi="Arial" w:cs="Arial"/>
          <w:i/>
          <w:color w:val="000000"/>
          <w:sz w:val="20"/>
          <w:szCs w:val="20"/>
          <w:lang w:eastAsia="fr-FR"/>
        </w:rPr>
        <w:t>C</w:t>
      </w: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>ode de la commande publique</w:t>
      </w:r>
    </w:p>
    <w:p w14:paraId="651168E9" w14:textId="77777777" w:rsidR="00812A08" w:rsidRPr="00BD18B3" w:rsidRDefault="00812A08" w:rsidP="00FD3433">
      <w:pPr>
        <w:tabs>
          <w:tab w:val="left" w:pos="580"/>
        </w:tabs>
        <w:spacing w:line="280" w:lineRule="atLeast"/>
        <w:ind w:right="80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65F78CA9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A20E55">
        <w:rPr>
          <w:rFonts w:ascii="Arial" w:hAnsi="Arial" w:cs="Arial"/>
          <w:sz w:val="24"/>
        </w:rPr>
        <w:t>20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</w:t>
      </w:r>
      <w:r w:rsidR="00851608">
        <w:rPr>
          <w:rFonts w:ascii="Arial" w:hAnsi="Arial" w:cs="Arial"/>
          <w:sz w:val="24"/>
        </w:rPr>
        <w:t>0</w:t>
      </w:r>
      <w:r w:rsidR="00ED5256">
        <w:rPr>
          <w:rFonts w:ascii="Arial" w:hAnsi="Arial" w:cs="Arial"/>
          <w:sz w:val="24"/>
        </w:rPr>
        <w:t>2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7AD47ED4" w14:textId="77777777" w:rsidR="00520D7A" w:rsidRPr="002A23D3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1"/>
        <w:gridCol w:w="4361"/>
      </w:tblGrid>
      <w:tr w:rsidR="00143FCC" w:rsidRPr="00143FCC" w14:paraId="63DA5B10" w14:textId="77777777" w:rsidTr="00145C9E">
        <w:trPr>
          <w:trHeight w:val="414"/>
        </w:trPr>
        <w:tc>
          <w:tcPr>
            <w:tcW w:w="10682" w:type="dxa"/>
            <w:gridSpan w:val="2"/>
          </w:tcPr>
          <w:p w14:paraId="2A3239A6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  <w:t>Montant du marché (€ HT)</w:t>
            </w:r>
          </w:p>
        </w:tc>
      </w:tr>
      <w:tr w:rsidR="00143FCC" w:rsidRPr="00143FCC" w14:paraId="53E158FB" w14:textId="77777777" w:rsidTr="00145C9E">
        <w:trPr>
          <w:trHeight w:val="164"/>
        </w:trPr>
        <w:tc>
          <w:tcPr>
            <w:tcW w:w="6321" w:type="dxa"/>
            <w:tcBorders>
              <w:bottom w:val="single" w:sz="4" w:space="0" w:color="auto"/>
            </w:tcBorders>
            <w:vAlign w:val="center"/>
          </w:tcPr>
          <w:p w14:paraId="4AE452C6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Montant (€ HT) Tranche ferme - 2025</w:t>
            </w: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14:paraId="3448473A" w14:textId="4CC87A53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.........................................................€HT</w:t>
            </w:r>
          </w:p>
        </w:tc>
      </w:tr>
      <w:tr w:rsidR="00143FCC" w:rsidRPr="00143FCC" w14:paraId="46F5C977" w14:textId="77777777" w:rsidTr="00145C9E">
        <w:trPr>
          <w:trHeight w:val="70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071F780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4BFB5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77018254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5E3EAF0C" w14:textId="23848AD2" w:rsidR="00143FCC" w:rsidRPr="007577C6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1 </w:t>
            </w:r>
            <w:r w:rsidR="00367AA7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2A033A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Restitution </w:t>
            </w:r>
            <w:r w:rsidR="007D0B2B">
              <w:rPr>
                <w:rFonts w:ascii="Arial" w:hAnsi="Arial" w:cs="Arial"/>
                <w:b/>
                <w:bCs/>
                <w:color w:val="000000"/>
                <w:lang w:eastAsia="fr-FR"/>
              </w:rPr>
              <w:t>socle d</w:t>
            </w:r>
            <w:r w:rsidR="00CC3AA2">
              <w:rPr>
                <w:rFonts w:ascii="Arial" w:hAnsi="Arial" w:cs="Arial"/>
                <w:b/>
                <w:bCs/>
                <w:color w:val="000000"/>
                <w:lang w:eastAsia="fr-FR"/>
              </w:rPr>
              <w:t>e</w:t>
            </w:r>
            <w:r w:rsidR="002A033A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la statue de Voltaire</w:t>
            </w:r>
          </w:p>
        </w:tc>
        <w:tc>
          <w:tcPr>
            <w:tcW w:w="4361" w:type="dxa"/>
          </w:tcPr>
          <w:p w14:paraId="25CE50E1" w14:textId="420996D2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  <w:tr w:rsidR="001972DB" w:rsidRPr="00143FCC" w14:paraId="2C5C8D85" w14:textId="77777777" w:rsidTr="00F06B64">
        <w:trPr>
          <w:trHeight w:val="70"/>
        </w:trPr>
        <w:tc>
          <w:tcPr>
            <w:tcW w:w="6321" w:type="dxa"/>
            <w:vAlign w:val="center"/>
          </w:tcPr>
          <w:p w14:paraId="31DBBC8F" w14:textId="77777777" w:rsidR="001972DB" w:rsidRPr="007577C6" w:rsidRDefault="001972DB" w:rsidP="00F06B64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Montant (€HT) – TO 2 – Restitution de la</w:t>
            </w: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jardinière au pied de la statue de Voltaire</w:t>
            </w:r>
          </w:p>
        </w:tc>
        <w:tc>
          <w:tcPr>
            <w:tcW w:w="4361" w:type="dxa"/>
          </w:tcPr>
          <w:p w14:paraId="55DD784A" w14:textId="77777777" w:rsidR="001972DB" w:rsidRPr="00143FCC" w:rsidRDefault="001972DB" w:rsidP="00F06B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  <w:tr w:rsidR="00143FCC" w:rsidRPr="00143FCC" w14:paraId="2D213ECF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0FF1D25F" w14:textId="347FBD3A" w:rsidR="00143FCC" w:rsidRPr="00492610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</w:t>
            </w:r>
            <w:r w:rsidR="001972DB"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>3</w:t>
            </w:r>
            <w:r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367AA7"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="007577C6"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1972DB"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Restauration </w:t>
            </w:r>
            <w:r w:rsidR="00492610" w:rsidRP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>des dé</w:t>
            </w:r>
            <w:r w:rsidR="00492610">
              <w:rPr>
                <w:rFonts w:ascii="Arial" w:hAnsi="Arial" w:cs="Arial"/>
                <w:b/>
                <w:bCs/>
                <w:color w:val="000000"/>
                <w:lang w:eastAsia="fr-FR"/>
              </w:rPr>
              <w:t>cors en partie hautes des élévations</w:t>
            </w:r>
          </w:p>
        </w:tc>
        <w:tc>
          <w:tcPr>
            <w:tcW w:w="4361" w:type="dxa"/>
          </w:tcPr>
          <w:p w14:paraId="4B2031BF" w14:textId="0A28869B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  <w:tr w:rsidR="00143FCC" w:rsidRPr="00143FCC" w14:paraId="09FBE6D0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6F735D8B" w14:textId="478BCA6D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</w:t>
            </w:r>
            <w:r w:rsidR="00CC3AA2">
              <w:rPr>
                <w:rFonts w:ascii="Arial" w:hAnsi="Arial" w:cs="Arial"/>
                <w:b/>
                <w:bCs/>
                <w:color w:val="000000"/>
                <w:lang w:eastAsia="fr-FR"/>
              </w:rPr>
              <w:t>4</w:t>
            </w:r>
            <w:r w:rsidR="00E4292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367AA7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7F61F0">
              <w:rPr>
                <w:rFonts w:ascii="Arial" w:hAnsi="Arial" w:cs="Arial"/>
                <w:b/>
                <w:bCs/>
                <w:color w:val="000000"/>
                <w:lang w:eastAsia="fr-FR"/>
              </w:rPr>
              <w:t>Rafra</w:t>
            </w:r>
            <w:r w:rsidR="00B339B7">
              <w:rPr>
                <w:rFonts w:ascii="Arial" w:hAnsi="Arial" w:cs="Arial"/>
                <w:b/>
                <w:bCs/>
                <w:color w:val="000000"/>
                <w:lang w:eastAsia="fr-FR"/>
              </w:rPr>
              <w:t>îchissem</w:t>
            </w:r>
            <w:r w:rsidR="009217DC">
              <w:rPr>
                <w:rFonts w:ascii="Arial" w:hAnsi="Arial" w:cs="Arial"/>
                <w:b/>
                <w:bCs/>
                <w:color w:val="000000"/>
                <w:lang w:eastAsia="fr-FR"/>
              </w:rPr>
              <w:t>ent de la galerie des bustes</w:t>
            </w:r>
          </w:p>
        </w:tc>
        <w:tc>
          <w:tcPr>
            <w:tcW w:w="4361" w:type="dxa"/>
          </w:tcPr>
          <w:p w14:paraId="37D88F3D" w14:textId="296A939C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.............................................................HT</w:t>
            </w:r>
          </w:p>
        </w:tc>
      </w:tr>
      <w:tr w:rsidR="00143FCC" w:rsidRPr="00143FCC" w14:paraId="2B377C3E" w14:textId="77777777" w:rsidTr="00145C9E">
        <w:trPr>
          <w:trHeight w:val="70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F88A584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4286BA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21BCCAEA" w14:textId="77777777" w:rsidTr="00145C9E">
        <w:trPr>
          <w:trHeight w:val="482"/>
        </w:trPr>
        <w:tc>
          <w:tcPr>
            <w:tcW w:w="6321" w:type="dxa"/>
            <w:tcBorders>
              <w:top w:val="single" w:sz="4" w:space="0" w:color="auto"/>
            </w:tcBorders>
            <w:vAlign w:val="center"/>
          </w:tcPr>
          <w:p w14:paraId="0AA614F1" w14:textId="61B3CB04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tranche ferme + tranches optionnelles </w:t>
            </w:r>
          </w:p>
        </w:tc>
        <w:tc>
          <w:tcPr>
            <w:tcW w:w="4361" w:type="dxa"/>
            <w:tcBorders>
              <w:top w:val="single" w:sz="4" w:space="0" w:color="auto"/>
            </w:tcBorders>
          </w:tcPr>
          <w:p w14:paraId="207E20CB" w14:textId="35680F4D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</w:tbl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542B0F0B" w14:textId="1D9E3C7C" w:rsidR="000B4DB3" w:rsidRDefault="009217DC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</w:t>
      </w:r>
      <w:r w:rsidR="006652F8">
        <w:rPr>
          <w:rFonts w:ascii="Arial" w:hAnsi="Arial" w:cs="Arial"/>
        </w:rPr>
        <w:t xml:space="preserve">de restauration des décors – staff – stuc </w:t>
      </w:r>
      <w:r w:rsidR="0098691D">
        <w:rPr>
          <w:rFonts w:ascii="Arial" w:hAnsi="Arial" w:cs="Arial"/>
        </w:rPr>
        <w:t>marbre – peinture décorative - dorure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6282BD1E" w:rsidR="006A0AA8" w:rsidRDefault="006A0AA8" w:rsidP="006A0AA8">
      <w:pPr>
        <w:pStyle w:val="Normal2"/>
        <w:ind w:left="0" w:firstLine="0"/>
        <w:rPr>
          <w:rFonts w:ascii="Arial" w:hAnsi="Arial" w:cs="Arial"/>
        </w:rPr>
      </w:pPr>
      <w:r w:rsidRPr="00CF0F84">
        <w:rPr>
          <w:rFonts w:ascii="Arial" w:hAnsi="Arial" w:cs="Arial"/>
        </w:rPr>
        <w:t xml:space="preserve">Le présent marché est passé selon une procédure </w:t>
      </w:r>
      <w:r w:rsidR="00A07F03">
        <w:rPr>
          <w:rFonts w:ascii="Arial" w:hAnsi="Arial" w:cs="Arial"/>
        </w:rPr>
        <w:t xml:space="preserve">adaptée </w:t>
      </w:r>
      <w:r w:rsidR="008100B4">
        <w:rPr>
          <w:rFonts w:ascii="Arial" w:hAnsi="Arial" w:cs="Arial"/>
        </w:rPr>
        <w:t xml:space="preserve">ouverte en application </w:t>
      </w:r>
      <w:r w:rsidR="008100B4" w:rsidRPr="009473B1">
        <w:rPr>
          <w:rFonts w:ascii="Arial" w:hAnsi="Arial" w:cs="Arial"/>
        </w:rPr>
        <w:t>en application des dispositions de l’article R. 2123-1 du code de la commande publique</w:t>
      </w:r>
      <w:r w:rsidRPr="00CF0F84">
        <w:rPr>
          <w:rFonts w:ascii="Arial" w:hAnsi="Arial" w:cs="Arial"/>
        </w:rPr>
        <w:t xml:space="preserve">. Il suit également les dispositions de l’article R. 2113-4 du </w:t>
      </w:r>
      <w:r w:rsidR="004C60B7">
        <w:rPr>
          <w:rFonts w:ascii="Arial" w:hAnsi="Arial" w:cs="Arial"/>
        </w:rPr>
        <w:t>C</w:t>
      </w:r>
      <w:r w:rsidRPr="00CF0F84">
        <w:rPr>
          <w:rFonts w:ascii="Arial" w:hAnsi="Arial" w:cs="Arial"/>
        </w:rPr>
        <w:t>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C3C5D24" w:rsidR="00B27734" w:rsidRPr="00C95CF0" w:rsidRDefault="008100B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Madame </w:t>
      </w:r>
      <w:r w:rsidR="00A37520">
        <w:rPr>
          <w:rFonts w:ascii="Arial" w:hAnsi="Arial" w:cs="Arial"/>
          <w:bCs/>
        </w:rPr>
        <w:t xml:space="preserve">Emmanuelle </w:t>
      </w:r>
      <w:r w:rsidR="002A549C">
        <w:rPr>
          <w:rFonts w:ascii="Arial" w:hAnsi="Arial" w:cs="Arial"/>
          <w:bCs/>
        </w:rPr>
        <w:t>BENSIMON-WEILER</w:t>
      </w:r>
      <w:r w:rsidR="00B27734" w:rsidRPr="00C95CF0">
        <w:rPr>
          <w:rFonts w:ascii="Arial" w:hAnsi="Arial" w:cs="Arial"/>
          <w:bCs/>
        </w:rPr>
        <w:t xml:space="preserve"> en sa qualité de Di</w:t>
      </w:r>
      <w:r w:rsidR="002A549C">
        <w:rPr>
          <w:rFonts w:ascii="Arial" w:hAnsi="Arial" w:cs="Arial"/>
          <w:bCs/>
        </w:rPr>
        <w:t>rectrice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2A549C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Services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A235800" w:rsidR="00B27734" w:rsidRPr="0016519E" w:rsidRDefault="002A549C">
      <w:pPr>
        <w:keepNext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 en sa qualité de Di</w:t>
      </w:r>
      <w:r>
        <w:rPr>
          <w:rFonts w:ascii="Arial" w:hAnsi="Arial" w:cs="Arial"/>
          <w:bCs/>
        </w:rPr>
        <w:t>rectrice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</w:t>
      </w:r>
      <w:r w:rsidR="00B27734" w:rsidRPr="0016519E">
        <w:rPr>
          <w:rFonts w:ascii="Arial" w:hAnsi="Arial" w:cs="Arial"/>
          <w:bCs/>
        </w:rPr>
        <w:t xml:space="preserve">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3910D86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2A549C">
        <w:rPr>
          <w:rFonts w:ascii="Arial" w:hAnsi="Arial" w:cs="Arial"/>
        </w:rPr>
        <w:t>90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73A08280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</w:t>
      </w:r>
      <w:r w:rsidR="004C60B7">
        <w:rPr>
          <w:rFonts w:ascii="Arial" w:hAnsi="Arial" w:cs="Arial"/>
        </w:rPr>
        <w:t xml:space="preserve"> ou de la date de remise de l’offre négociée le cas échéant. 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486F7743" w14:textId="08426E72" w:rsidR="006A0AA8" w:rsidRDefault="00742BA7" w:rsidP="00BE3CAE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129900B3" w14:textId="607FE471" w:rsidR="00F87116" w:rsidRPr="00A00FD7" w:rsidRDefault="00F87116" w:rsidP="006A0AA8">
      <w:pPr>
        <w:jc w:val="both"/>
        <w:rPr>
          <w:rFonts w:ascii="Arial" w:hAnsi="Arial" w:cs="Arial"/>
          <w:i/>
          <w:iCs/>
          <w:u w:val="single"/>
        </w:rPr>
      </w:pPr>
      <w:r w:rsidRPr="00A00FD7">
        <w:rPr>
          <w:rFonts w:ascii="Arial" w:hAnsi="Arial" w:cs="Arial"/>
          <w:i/>
          <w:iCs/>
          <w:u w:val="single"/>
        </w:rPr>
        <w:t>Tranche ferme</w:t>
      </w:r>
      <w:r w:rsidR="00A00FD7" w:rsidRPr="00A00FD7">
        <w:rPr>
          <w:rFonts w:ascii="Arial" w:hAnsi="Arial" w:cs="Arial"/>
          <w:i/>
          <w:iCs/>
          <w:u w:val="single"/>
        </w:rPr>
        <w:t> </w:t>
      </w:r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38293F01" w14:textId="77FAC804" w:rsidR="00F03FF4" w:rsidRDefault="00F03FF4" w:rsidP="00BE3CAE">
      <w:pPr>
        <w:pStyle w:val="Normal1"/>
        <w:ind w:firstLine="0"/>
        <w:rPr>
          <w:rFonts w:ascii="Arial" w:hAnsi="Arial" w:cs="Arial"/>
          <w:noProof/>
        </w:rPr>
      </w:pPr>
    </w:p>
    <w:p w14:paraId="50E1F83E" w14:textId="7A6F3E4C" w:rsidR="002A549C" w:rsidRPr="00476604" w:rsidRDefault="00F87116" w:rsidP="00F8711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476604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75F55" w:rsidRPr="00476604">
        <w:rPr>
          <w:rFonts w:ascii="Arial" w:hAnsi="Arial" w:cs="Arial"/>
          <w:i/>
          <w:iCs/>
          <w:noProof/>
          <w:u w:val="single"/>
        </w:rPr>
        <w:t>1</w:t>
      </w:r>
      <w:r w:rsidR="00252737" w:rsidRPr="00476604">
        <w:rPr>
          <w:rFonts w:ascii="Arial" w:hAnsi="Arial" w:cs="Arial"/>
          <w:i/>
          <w:iCs/>
          <w:noProof/>
          <w:u w:val="single"/>
        </w:rPr>
        <w:t xml:space="preserve"> – </w:t>
      </w:r>
      <w:r w:rsidR="00476604" w:rsidRPr="00476604">
        <w:rPr>
          <w:rFonts w:ascii="Arial" w:hAnsi="Arial" w:cs="Arial"/>
          <w:i/>
          <w:iCs/>
          <w:noProof/>
          <w:u w:val="single"/>
        </w:rPr>
        <w:t>Restitution socle de la statue de Voltaire</w:t>
      </w:r>
    </w:p>
    <w:p w14:paraId="524FADCF" w14:textId="77777777" w:rsidR="00476604" w:rsidRDefault="00476604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3098C4DC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8D3A81E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AE5854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237C54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60A6CDE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FC4F401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1D1B12A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4867A31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7DFD0F22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D6670AB" w14:textId="77777777" w:rsidR="002D4CDE" w:rsidRPr="00AB4BC7" w:rsidRDefault="002D4CDE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0FA7082B" w14:textId="77777777" w:rsidTr="0011207D">
        <w:trPr>
          <w:cantSplit/>
          <w:trHeight w:val="651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3A8256" w14:textId="77777777" w:rsidR="002D4CDE" w:rsidRPr="00AB4BC7" w:rsidRDefault="002D4CDE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797466EE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bookmarkStart w:id="10" w:name="_Hlk208220759"/>
    </w:p>
    <w:p w14:paraId="4A54104E" w14:textId="6896276B" w:rsidR="00BE3AF6" w:rsidRDefault="00BE3AF6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75F55">
        <w:rPr>
          <w:rFonts w:ascii="Arial" w:hAnsi="Arial" w:cs="Arial"/>
          <w:i/>
          <w:iCs/>
          <w:noProof/>
          <w:u w:val="single"/>
        </w:rPr>
        <w:t>2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noProof/>
          <w:u w:val="single"/>
        </w:rPr>
        <w:t>Restitution de la jardinière au pied de la statue de Voltaire</w:t>
      </w:r>
    </w:p>
    <w:p w14:paraId="16026E55" w14:textId="77777777" w:rsidR="00BE3AF6" w:rsidRDefault="00BE3AF6" w:rsidP="00BE3AF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BE3AF6" w:rsidRPr="002530EF" w14:paraId="15B01671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64F7F3A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2D0D7CB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F36D2D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BE3AF6" w:rsidRPr="002530EF" w14:paraId="57E2EE6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F599E48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C19FC18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BE9154D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BE3AF6" w:rsidRPr="00AB4BC7" w14:paraId="4C9336E1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E0F7E7" w14:textId="77777777" w:rsidR="00BE3AF6" w:rsidRPr="00AB4BC7" w:rsidRDefault="00BE3AF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BE3AF6" w:rsidRPr="00AB4BC7" w14:paraId="7BBF612D" w14:textId="77777777" w:rsidTr="0011207D">
        <w:trPr>
          <w:cantSplit/>
          <w:trHeight w:val="557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6AD2709" w14:textId="77777777" w:rsidR="00BE3AF6" w:rsidRPr="00AB4BC7" w:rsidRDefault="00BE3AF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bookmarkEnd w:id="10"/>
    </w:tbl>
    <w:p w14:paraId="662418B0" w14:textId="77777777" w:rsidR="00411AD2" w:rsidRPr="00411AD2" w:rsidRDefault="00411AD2" w:rsidP="00C1786B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11D417EB" w14:textId="0FEFC9BF" w:rsidR="00411AD2" w:rsidRPr="00411AD2" w:rsidRDefault="00411AD2" w:rsidP="00411AD2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411AD2">
        <w:rPr>
          <w:rFonts w:ascii="Arial" w:hAnsi="Arial" w:cs="Arial"/>
          <w:i/>
          <w:iCs/>
          <w:noProof/>
          <w:u w:val="single"/>
        </w:rPr>
        <w:lastRenderedPageBreak/>
        <w:t xml:space="preserve">Tranche optionnelle TO </w:t>
      </w:r>
      <w:r>
        <w:rPr>
          <w:rFonts w:ascii="Arial" w:hAnsi="Arial" w:cs="Arial"/>
          <w:i/>
          <w:iCs/>
          <w:noProof/>
          <w:u w:val="single"/>
        </w:rPr>
        <w:t xml:space="preserve">3 </w:t>
      </w:r>
      <w:r w:rsidRPr="00411AD2">
        <w:rPr>
          <w:rFonts w:ascii="Arial" w:hAnsi="Arial" w:cs="Arial"/>
          <w:i/>
          <w:iCs/>
          <w:noProof/>
          <w:u w:val="single"/>
        </w:rPr>
        <w:t xml:space="preserve">– </w:t>
      </w:r>
      <w:r>
        <w:rPr>
          <w:rFonts w:ascii="Arial" w:hAnsi="Arial" w:cs="Arial"/>
          <w:i/>
          <w:iCs/>
          <w:noProof/>
          <w:u w:val="single"/>
        </w:rPr>
        <w:t>Restaur</w:t>
      </w:r>
      <w:r w:rsidR="00E25BC6">
        <w:rPr>
          <w:rFonts w:ascii="Arial" w:hAnsi="Arial" w:cs="Arial"/>
          <w:i/>
          <w:iCs/>
          <w:noProof/>
          <w:u w:val="single"/>
        </w:rPr>
        <w:t xml:space="preserve">ation des décors </w:t>
      </w:r>
      <w:r w:rsidR="00C1786B">
        <w:rPr>
          <w:rFonts w:ascii="Arial" w:hAnsi="Arial" w:cs="Arial"/>
          <w:i/>
          <w:iCs/>
          <w:noProof/>
          <w:u w:val="single"/>
        </w:rPr>
        <w:t>en parties hautes des élévations</w:t>
      </w:r>
    </w:p>
    <w:p w14:paraId="10A64F24" w14:textId="77777777" w:rsidR="00411AD2" w:rsidRPr="00411AD2" w:rsidRDefault="00411AD2" w:rsidP="00411AD2">
      <w:pPr>
        <w:pStyle w:val="Normal1"/>
        <w:rPr>
          <w:rFonts w:ascii="Arial" w:hAnsi="Arial" w:cs="Arial"/>
          <w:i/>
          <w:iCs/>
          <w:noProof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411AD2" w:rsidRPr="00411AD2" w14:paraId="53B5F59D" w14:textId="77777777" w:rsidTr="00F06B64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736D777" w14:textId="77777777" w:rsidR="00411AD2" w:rsidRPr="00411AD2" w:rsidRDefault="00411AD2" w:rsidP="00411AD2">
            <w:pPr>
              <w:pStyle w:val="Normal1"/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</w:pPr>
            <w:r w:rsidRPr="00411AD2"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DF4E3B1" w14:textId="77777777" w:rsidR="00411AD2" w:rsidRPr="00411AD2" w:rsidRDefault="00411AD2" w:rsidP="00411AD2">
            <w:pPr>
              <w:pStyle w:val="Normal1"/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</w:pPr>
            <w:r w:rsidRPr="00411AD2"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66CFF9FB" w14:textId="77777777" w:rsidR="00411AD2" w:rsidRPr="00411AD2" w:rsidRDefault="00411AD2" w:rsidP="00411AD2">
            <w:pPr>
              <w:pStyle w:val="Normal1"/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</w:pPr>
            <w:r w:rsidRPr="00411AD2"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  <w:t>Montant forfaitaire TTC</w:t>
            </w:r>
          </w:p>
        </w:tc>
      </w:tr>
      <w:tr w:rsidR="00411AD2" w:rsidRPr="00411AD2" w14:paraId="0DFC18D5" w14:textId="77777777" w:rsidTr="00F06B64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69C634D" w14:textId="77777777" w:rsidR="00411AD2" w:rsidRPr="00411AD2" w:rsidRDefault="00411AD2" w:rsidP="0011207D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411AD2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89A3D97" w14:textId="77777777" w:rsidR="00411AD2" w:rsidRPr="00411AD2" w:rsidRDefault="00411AD2" w:rsidP="0011207D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</w:pPr>
            <w:r w:rsidRPr="00411AD2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039A1AD" w14:textId="77777777" w:rsidR="00411AD2" w:rsidRPr="00411AD2" w:rsidRDefault="00411AD2" w:rsidP="0011207D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u w:val="single"/>
              </w:rPr>
            </w:pPr>
            <w:r w:rsidRPr="00411AD2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411AD2" w:rsidRPr="00411AD2" w14:paraId="19DA089B" w14:textId="77777777" w:rsidTr="00F06B64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B515296" w14:textId="77777777" w:rsidR="00411AD2" w:rsidRPr="00411AD2" w:rsidRDefault="00411AD2" w:rsidP="0011207D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lang w:eastAsia="fr-FR"/>
              </w:rPr>
            </w:pPr>
            <w:r w:rsidRPr="00411AD2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(HT) : …………………………………………………………...………</w:t>
            </w:r>
          </w:p>
        </w:tc>
      </w:tr>
      <w:tr w:rsidR="00411AD2" w:rsidRPr="00411AD2" w14:paraId="09222A53" w14:textId="77777777" w:rsidTr="00F06B64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C88DA0E" w14:textId="77777777" w:rsidR="00411AD2" w:rsidRPr="00411AD2" w:rsidRDefault="00411AD2" w:rsidP="0011207D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lang w:eastAsia="fr-FR"/>
              </w:rPr>
            </w:pPr>
            <w:r w:rsidRPr="00411AD2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 : …………………………………………………………...………</w:t>
            </w:r>
          </w:p>
        </w:tc>
      </w:tr>
    </w:tbl>
    <w:p w14:paraId="4DEC27BB" w14:textId="77777777" w:rsidR="00411AD2" w:rsidRDefault="00411AD2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20FB7C7C" w14:textId="3C620EFF" w:rsidR="001F3045" w:rsidRDefault="001F3045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>Tranche optionnelle TO</w:t>
      </w:r>
      <w:r w:rsidR="00C1786B">
        <w:rPr>
          <w:rFonts w:ascii="Arial" w:hAnsi="Arial" w:cs="Arial"/>
          <w:i/>
          <w:iCs/>
          <w:noProof/>
          <w:u w:val="single"/>
        </w:rPr>
        <w:t xml:space="preserve"> 4 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color w:val="000000"/>
          <w:lang w:eastAsia="fr-FR"/>
        </w:rPr>
        <w:t>R</w:t>
      </w:r>
      <w:r w:rsidR="002A549C" w:rsidRPr="002A549C">
        <w:rPr>
          <w:rFonts w:ascii="Arial" w:hAnsi="Arial" w:cs="Arial"/>
          <w:i/>
          <w:iCs/>
          <w:noProof/>
          <w:u w:val="single"/>
        </w:rPr>
        <w:t>afraîchissement de la galerie des bustes</w:t>
      </w:r>
    </w:p>
    <w:p w14:paraId="00E7468A" w14:textId="77777777" w:rsidR="002A549C" w:rsidRPr="002A549C" w:rsidRDefault="002A549C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1F3045" w:rsidRPr="002530EF" w14:paraId="71B7611C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6AE35FFC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2FE63691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2DC8216F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1F3045" w:rsidRPr="002530EF" w14:paraId="11B67C6F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3155B72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561EA07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85BB835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1F3045" w:rsidRPr="00AB4BC7" w14:paraId="759DE322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D06420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1F3045" w:rsidRPr="00AB4BC7" w14:paraId="64DC02E3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1F8271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5980EE63" w14:textId="77777777" w:rsidR="00376728" w:rsidRDefault="00376728" w:rsidP="007D527A">
      <w:pPr>
        <w:pStyle w:val="Normal1"/>
        <w:ind w:firstLine="0"/>
        <w:rPr>
          <w:rFonts w:ascii="Arial" w:hAnsi="Arial" w:cs="Arial"/>
          <w:noProof/>
        </w:rPr>
      </w:pPr>
    </w:p>
    <w:p w14:paraId="3AA7EDE2" w14:textId="77777777" w:rsidR="007D527A" w:rsidRDefault="007D527A" w:rsidP="007D527A">
      <w:pPr>
        <w:pStyle w:val="Normal1"/>
        <w:ind w:firstLine="0"/>
        <w:rPr>
          <w:rFonts w:ascii="Arial" w:hAnsi="Arial" w:cs="Arial"/>
          <w:noProof/>
        </w:rPr>
      </w:pPr>
    </w:p>
    <w:p w14:paraId="575DCC5E" w14:textId="42B81767" w:rsidR="007D527A" w:rsidRPr="00E10AD7" w:rsidRDefault="007D527A" w:rsidP="007D527A">
      <w:pPr>
        <w:pStyle w:val="Normal1"/>
        <w:ind w:firstLine="0"/>
        <w:rPr>
          <w:rFonts w:ascii="Arial" w:hAnsi="Arial" w:cs="Arial"/>
          <w:noProof/>
        </w:rPr>
      </w:pPr>
      <w:r w:rsidRPr="00E10AD7">
        <w:rPr>
          <w:rFonts w:ascii="Arial" w:hAnsi="Arial" w:cs="Arial"/>
          <w:noProof/>
        </w:rPr>
        <w:t xml:space="preserve">Soit, en cas </w:t>
      </w:r>
      <w:r w:rsidRPr="00E10AD7">
        <w:rPr>
          <w:rFonts w:ascii="Arial" w:hAnsi="Arial" w:cs="Arial"/>
          <w:b/>
          <w:noProof/>
        </w:rPr>
        <w:t>d'affermissement de</w:t>
      </w:r>
      <w:r>
        <w:rPr>
          <w:rFonts w:ascii="Arial" w:hAnsi="Arial" w:cs="Arial"/>
          <w:b/>
          <w:noProof/>
        </w:rPr>
        <w:t xml:space="preserve"> la tranche ferme et des</w:t>
      </w:r>
      <w:r w:rsidRPr="00F64FE2">
        <w:rPr>
          <w:rFonts w:ascii="Arial" w:hAnsi="Arial" w:cs="Arial"/>
          <w:b/>
          <w:noProof/>
        </w:rPr>
        <w:t xml:space="preserve"> tranches optionnelles</w:t>
      </w:r>
      <w:r w:rsidRPr="00E10AD7">
        <w:rPr>
          <w:rFonts w:ascii="Arial" w:hAnsi="Arial" w:cs="Arial"/>
          <w:noProof/>
        </w:rPr>
        <w:t>, un montant total de :</w:t>
      </w:r>
    </w:p>
    <w:p w14:paraId="4476271D" w14:textId="77777777" w:rsidR="007D527A" w:rsidRPr="00E10AD7" w:rsidRDefault="007D527A" w:rsidP="007D527A">
      <w:pPr>
        <w:pStyle w:val="Normal1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7D527A" w:rsidRPr="002530EF" w14:paraId="19176ED4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03C74BC5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FB27B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4D4988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7D527A" w:rsidRPr="002530EF" w14:paraId="57B7B95A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303765C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6E07BDE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CFCC254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7D527A" w:rsidRPr="00AB4BC7" w14:paraId="664338D4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E4E8B4F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7D527A" w:rsidRPr="00AB4BC7" w14:paraId="4EBF0CAB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E802C5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77FE0829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01F9542E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242D5EC3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3DBED84D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8B09BC2" w14:textId="77777777" w:rsidR="00BE3AF6" w:rsidRPr="00E10AD7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EC9DF78" w14:textId="77777777" w:rsidR="006A4820" w:rsidRPr="00E10AD7" w:rsidRDefault="006A4820" w:rsidP="006A4820">
      <w:pPr>
        <w:pStyle w:val="Normal1"/>
        <w:rPr>
          <w:rFonts w:ascii="Arial" w:hAnsi="Arial" w:cs="Arial"/>
        </w:r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1" w:name="_Toc179367352"/>
      <w:r w:rsidRPr="00E10AD7">
        <w:rPr>
          <w:rFonts w:cs="Arial"/>
        </w:rPr>
        <w:lastRenderedPageBreak/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1"/>
    </w:p>
    <w:p w14:paraId="33DA7A1F" w14:textId="77777777" w:rsidR="005A33B8" w:rsidRPr="00E10AD7" w:rsidRDefault="005A33B8" w:rsidP="005A33B8">
      <w:pPr>
        <w:pStyle w:val="Titre2"/>
      </w:pPr>
      <w:bookmarkStart w:id="12" w:name="_Toc179367353"/>
      <w:r w:rsidRPr="00E10AD7">
        <w:t>3.1</w:t>
      </w:r>
      <w:r>
        <w:t>.</w:t>
      </w:r>
      <w:r w:rsidRPr="00E10AD7">
        <w:t xml:space="preserve"> Durée du marché</w:t>
      </w:r>
      <w:bookmarkEnd w:id="12"/>
    </w:p>
    <w:p w14:paraId="5F8BD25F" w14:textId="77777777" w:rsidR="005A33B8" w:rsidRPr="00A57393" w:rsidRDefault="005A33B8" w:rsidP="005A33B8">
      <w:p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Le marché débutera compter de sa date de notification et prendra fin à la plus tardive de ces deux dates :</w:t>
      </w:r>
    </w:p>
    <w:p w14:paraId="121281EC" w14:textId="77777777" w:rsidR="005A33B8" w:rsidRDefault="005A33B8" w:rsidP="005A33B8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L’expiration du délai de garantie de parfait achèvement, tel que défini à l’article 44.1 du CCAG-Travaux</w:t>
      </w:r>
      <w:r>
        <w:rPr>
          <w:rFonts w:ascii="Arial" w:hAnsi="Arial" w:cs="Arial"/>
        </w:rPr>
        <w:t xml:space="preserve"> du 30 mars 2021</w:t>
      </w:r>
      <w:r w:rsidRPr="00A57393">
        <w:rPr>
          <w:rFonts w:ascii="Arial" w:hAnsi="Arial" w:cs="Arial"/>
        </w:rPr>
        <w:t xml:space="preserve">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6B0EF46D" w14:textId="77777777" w:rsidR="005A33B8" w:rsidRDefault="005A33B8" w:rsidP="005A33B8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 xml:space="preserve">La levée de la dernière réserve. </w:t>
      </w:r>
    </w:p>
    <w:p w14:paraId="37C3F48E" w14:textId="77777777" w:rsidR="005A33B8" w:rsidRPr="004E6BCB" w:rsidRDefault="005A33B8" w:rsidP="005A33B8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7389C845" w14:textId="77777777" w:rsidR="005A33B8" w:rsidRPr="00AE7A74" w:rsidRDefault="005A33B8" w:rsidP="005A33B8">
      <w:pPr>
        <w:pStyle w:val="Titre2"/>
      </w:pPr>
      <w:bookmarkStart w:id="13" w:name="_Toc179367354"/>
      <w:r w:rsidRPr="00E10AD7">
        <w:t>3.2</w:t>
      </w:r>
      <w:r>
        <w:t>.</w:t>
      </w:r>
      <w:r w:rsidRPr="00E10AD7">
        <w:t xml:space="preserve"> Délais </w:t>
      </w:r>
      <w:r>
        <w:t xml:space="preserve">de réalisation des prestations </w:t>
      </w:r>
      <w:bookmarkEnd w:id="13"/>
    </w:p>
    <w:p w14:paraId="07D4F35C" w14:textId="5B62935B" w:rsidR="005A33B8" w:rsidRDefault="005A33B8" w:rsidP="005A33B8">
      <w:pPr>
        <w:contextualSpacing/>
        <w:jc w:val="both"/>
        <w:textAlignment w:val="baseline"/>
        <w:rPr>
          <w:rFonts w:ascii="Arial" w:hAnsi="Arial" w:cs="Arial"/>
        </w:rPr>
      </w:pPr>
      <w:r w:rsidRPr="00DE4ECD">
        <w:rPr>
          <w:rFonts w:ascii="Arial" w:hAnsi="Arial" w:cs="Arial"/>
        </w:rPr>
        <w:t xml:space="preserve">Pour l’ensemble des lots, le délai d’exécution des prestations est fixé à 8 mois à compter de l’ordre de service de démarrage des travaux, dont </w:t>
      </w:r>
      <w:r w:rsidR="00D538A1">
        <w:rPr>
          <w:rFonts w:ascii="Arial" w:hAnsi="Arial" w:cs="Arial"/>
        </w:rPr>
        <w:t xml:space="preserve">1 </w:t>
      </w:r>
      <w:r w:rsidRPr="00DE4ECD">
        <w:rPr>
          <w:rFonts w:ascii="Arial" w:hAnsi="Arial" w:cs="Arial"/>
        </w:rPr>
        <w:t>mois de préparation y compris congés payés, intempéries, repliement des installations et nettoyage des lieux.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4" w:name="_Toc179367355"/>
      <w:r>
        <w:rPr>
          <w:rFonts w:cs="Arial"/>
        </w:rPr>
        <w:t>ARTICLE 4 : NOMENCLATURE COMMUNAUTAIRE</w:t>
      </w:r>
      <w:bookmarkEnd w:id="14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D462" w14:textId="77777777" w:rsidR="004B3C3E" w:rsidRPr="008B3A70" w:rsidRDefault="00FD04B4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</w:rPr>
            </w:pPr>
            <w:r w:rsidRPr="008B3A70">
              <w:rPr>
                <w:rFonts w:ascii="Arial" w:hAnsi="Arial" w:cs="Arial"/>
                <w:spacing w:val="-2"/>
              </w:rPr>
              <w:t xml:space="preserve">45451000-3 </w:t>
            </w:r>
            <w:r w:rsidR="006A3BF2" w:rsidRPr="008B3A70">
              <w:rPr>
                <w:rFonts w:ascii="Arial" w:hAnsi="Arial" w:cs="Arial"/>
              </w:rPr>
              <w:t xml:space="preserve">Travaux de </w:t>
            </w:r>
            <w:r w:rsidRPr="008B3A70">
              <w:rPr>
                <w:rFonts w:ascii="Arial" w:hAnsi="Arial" w:cs="Arial"/>
              </w:rPr>
              <w:t>décoration</w:t>
            </w:r>
          </w:p>
          <w:p w14:paraId="74248278" w14:textId="234C7395" w:rsidR="007765C0" w:rsidRPr="008B3A70" w:rsidRDefault="007765C0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</w:rPr>
            </w:pPr>
            <w:r w:rsidRPr="008B3A70">
              <w:rPr>
                <w:rFonts w:ascii="Arial" w:hAnsi="Arial" w:cs="Arial"/>
              </w:rPr>
              <w:t xml:space="preserve">45212314-0 </w:t>
            </w:r>
            <w:r w:rsidR="008B3A70" w:rsidRPr="008B3A70">
              <w:rPr>
                <w:rFonts w:ascii="Arial" w:hAnsi="Arial" w:cs="Arial"/>
              </w:rPr>
              <w:tab/>
              <w:t>Travaux de construction de monuments historiques ou de mémoriaux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5" w:name="_Toc179367356"/>
      <w:r w:rsidRPr="00593501">
        <w:rPr>
          <w:rFonts w:cs="Arial"/>
          <w:szCs w:val="24"/>
        </w:rPr>
        <w:t>ARTICLE 5 : PAIEMENT</w:t>
      </w:r>
      <w:bookmarkEnd w:id="15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6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NON   </w:t>
      </w:r>
      <w:bookmarkStart w:id="17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7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6AE0329D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</w:t>
      </w:r>
      <w:r w:rsidR="004C60B7">
        <w:rPr>
          <w:rFonts w:ascii="Arial" w:hAnsi="Arial" w:cs="Arial"/>
        </w:rPr>
        <w:t>C</w:t>
      </w:r>
      <w:r w:rsidRPr="00593501">
        <w:rPr>
          <w:rFonts w:ascii="Arial" w:hAnsi="Arial" w:cs="Arial"/>
        </w:rPr>
        <w:t>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8" w:name="_Toc179367357"/>
      <w:r>
        <w:rPr>
          <w:rFonts w:cs="Arial"/>
        </w:rPr>
        <w:t>ARTICLE 6 : ENGAGEMENT DU CANDIDAT</w:t>
      </w:r>
      <w:bookmarkEnd w:id="18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CC3A4D">
        <w:trPr>
          <w:jc w:val="center"/>
        </w:trPr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CC3A4D">
        <w:trPr>
          <w:jc w:val="center"/>
        </w:trPr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6A469C4" w:rsidR="0021647B" w:rsidRPr="00CC1ACA" w:rsidRDefault="0021647B" w:rsidP="004368B8">
            <w:pPr>
              <w:keepNext/>
              <w:keepLine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368B8">
              <w:rPr>
                <w:rFonts w:ascii="Arial" w:hAnsi="Arial" w:cs="Arial"/>
              </w:rPr>
              <w:t>Emma</w:t>
            </w:r>
            <w:r w:rsidR="00870331">
              <w:rPr>
                <w:rFonts w:ascii="Arial" w:hAnsi="Arial" w:cs="Arial"/>
              </w:rPr>
              <w:t>nuelle BENSIMON-WEILER</w:t>
            </w:r>
          </w:p>
        </w:tc>
      </w:tr>
      <w:tr w:rsidR="0021647B" w:rsidRPr="00CC1ACA" w14:paraId="089309F3" w14:textId="77777777" w:rsidTr="00CC3A4D">
        <w:trPr>
          <w:jc w:val="center"/>
        </w:trPr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352EB9B9" w:rsidR="0021647B" w:rsidRPr="00CC1ACA" w:rsidRDefault="00870331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Directrice générale des services</w:t>
            </w:r>
          </w:p>
        </w:tc>
      </w:tr>
      <w:tr w:rsidR="0021647B" w:rsidRPr="00CC1ACA" w14:paraId="79A25D02" w14:textId="77777777" w:rsidTr="00CC3A4D">
        <w:trPr>
          <w:jc w:val="center"/>
        </w:trPr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Default="00605696" w:rsidP="00A92E3B">
      <w:pPr>
        <w:pStyle w:val="Titre1"/>
        <w:numPr>
          <w:ilvl w:val="0"/>
          <w:numId w:val="0"/>
        </w:numPr>
      </w:pPr>
    </w:p>
    <w:p w14:paraId="1A40A9E8" w14:textId="77777777" w:rsidR="00B91957" w:rsidRDefault="00B91957" w:rsidP="00B91957"/>
    <w:p w14:paraId="7A22930C" w14:textId="77777777" w:rsidR="00B91957" w:rsidRPr="00B91957" w:rsidRDefault="00B91957" w:rsidP="00B91957"/>
    <w:sectPr w:rsidR="00B91957" w:rsidRPr="00B91957" w:rsidSect="009253B0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720" w:right="720" w:bottom="720" w:left="720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42C2A" w14:textId="77777777" w:rsidR="00F26527" w:rsidRDefault="00F26527">
      <w:r>
        <w:separator/>
      </w:r>
    </w:p>
  </w:endnote>
  <w:endnote w:type="continuationSeparator" w:id="0">
    <w:p w14:paraId="19273AB5" w14:textId="77777777" w:rsidR="00F26527" w:rsidRDefault="00F26527">
      <w:r>
        <w:continuationSeparator/>
      </w:r>
    </w:p>
  </w:endnote>
  <w:endnote w:type="continuationNotice" w:id="1">
    <w:p w14:paraId="5CF3E050" w14:textId="77777777" w:rsidR="00F26527" w:rsidRDefault="00F26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0EA15C8C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2A549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1D3BA2">
      <w:rPr>
        <w:rFonts w:ascii="Arial" w:hAnsi="Arial" w:cs="Arial"/>
        <w:i/>
        <w:iCs/>
        <w:sz w:val="16"/>
        <w:szCs w:val="16"/>
      </w:rPr>
      <w:t>0</w:t>
    </w:r>
    <w:r w:rsidR="000B7D2C">
      <w:rPr>
        <w:rFonts w:ascii="Arial" w:hAnsi="Arial" w:cs="Arial"/>
        <w:i/>
        <w:iCs/>
        <w:sz w:val="16"/>
        <w:szCs w:val="16"/>
      </w:rPr>
      <w:t>2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78F79E18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9217D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F1816">
      <w:rPr>
        <w:rFonts w:ascii="Arial" w:hAnsi="Arial" w:cs="Arial"/>
        <w:i/>
        <w:iCs/>
        <w:sz w:val="16"/>
        <w:szCs w:val="16"/>
      </w:rPr>
      <w:t>0</w:t>
    </w:r>
    <w:r w:rsidR="006652F8">
      <w:rPr>
        <w:rFonts w:ascii="Arial" w:hAnsi="Arial" w:cs="Arial"/>
        <w:i/>
        <w:iCs/>
        <w:sz w:val="16"/>
        <w:szCs w:val="16"/>
      </w:rPr>
      <w:t>2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77777777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044234">
      <w:rPr>
        <w:rFonts w:ascii="Arial" w:hAnsi="Arial" w:cs="Arial"/>
        <w:i/>
        <w:iCs/>
        <w:sz w:val="16"/>
        <w:szCs w:val="16"/>
      </w:rPr>
      <w:t>LOT n°01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5D31" w14:textId="77777777" w:rsidR="00F26527" w:rsidRDefault="00F26527">
      <w:r>
        <w:separator/>
      </w:r>
    </w:p>
  </w:footnote>
  <w:footnote w:type="continuationSeparator" w:id="0">
    <w:p w14:paraId="396162C3" w14:textId="77777777" w:rsidR="00F26527" w:rsidRDefault="00F26527">
      <w:r>
        <w:continuationSeparator/>
      </w:r>
    </w:p>
  </w:footnote>
  <w:footnote w:type="continuationNotice" w:id="1">
    <w:p w14:paraId="46535EC2" w14:textId="77777777" w:rsidR="00F26527" w:rsidRDefault="00F26527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5"/>
  </w:num>
  <w:num w:numId="27" w16cid:durableId="1901935537">
    <w:abstractNumId w:val="24"/>
  </w:num>
  <w:num w:numId="28" w16cid:durableId="10473375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97F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A674A"/>
    <w:rsid w:val="000B4A1E"/>
    <w:rsid w:val="000B4DB3"/>
    <w:rsid w:val="000B7D2C"/>
    <w:rsid w:val="000C4248"/>
    <w:rsid w:val="000C66C6"/>
    <w:rsid w:val="000F1BE9"/>
    <w:rsid w:val="000F44BE"/>
    <w:rsid w:val="000F71E9"/>
    <w:rsid w:val="00104E80"/>
    <w:rsid w:val="0011207D"/>
    <w:rsid w:val="00113A67"/>
    <w:rsid w:val="001165EC"/>
    <w:rsid w:val="00143FCC"/>
    <w:rsid w:val="00145C9E"/>
    <w:rsid w:val="00157187"/>
    <w:rsid w:val="001633F3"/>
    <w:rsid w:val="0016519E"/>
    <w:rsid w:val="00177719"/>
    <w:rsid w:val="00182CD3"/>
    <w:rsid w:val="001844FA"/>
    <w:rsid w:val="001972DB"/>
    <w:rsid w:val="001B7DDA"/>
    <w:rsid w:val="001C2A4A"/>
    <w:rsid w:val="001D2C0C"/>
    <w:rsid w:val="001D3BA2"/>
    <w:rsid w:val="001D5285"/>
    <w:rsid w:val="001E075D"/>
    <w:rsid w:val="001F3045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033A"/>
    <w:rsid w:val="002A23D3"/>
    <w:rsid w:val="002A3681"/>
    <w:rsid w:val="002A549C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518A"/>
    <w:rsid w:val="003C7984"/>
    <w:rsid w:val="003C7DA3"/>
    <w:rsid w:val="003E245C"/>
    <w:rsid w:val="003E4F0B"/>
    <w:rsid w:val="003F124B"/>
    <w:rsid w:val="004021A3"/>
    <w:rsid w:val="00406510"/>
    <w:rsid w:val="00411AD2"/>
    <w:rsid w:val="004263FA"/>
    <w:rsid w:val="00433E93"/>
    <w:rsid w:val="004345A0"/>
    <w:rsid w:val="004349C3"/>
    <w:rsid w:val="004368B8"/>
    <w:rsid w:val="00436F77"/>
    <w:rsid w:val="004542C5"/>
    <w:rsid w:val="00454B17"/>
    <w:rsid w:val="0046698C"/>
    <w:rsid w:val="00476604"/>
    <w:rsid w:val="00485F38"/>
    <w:rsid w:val="00492610"/>
    <w:rsid w:val="0049496E"/>
    <w:rsid w:val="004A5831"/>
    <w:rsid w:val="004B3C3E"/>
    <w:rsid w:val="004B5199"/>
    <w:rsid w:val="004C60B7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3B8"/>
    <w:rsid w:val="005A35F1"/>
    <w:rsid w:val="005A7E6D"/>
    <w:rsid w:val="005D6E83"/>
    <w:rsid w:val="005E57B8"/>
    <w:rsid w:val="005F242E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652F8"/>
    <w:rsid w:val="00691D02"/>
    <w:rsid w:val="00696B39"/>
    <w:rsid w:val="006A0AA8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577C6"/>
    <w:rsid w:val="007627ED"/>
    <w:rsid w:val="0077101C"/>
    <w:rsid w:val="00772B46"/>
    <w:rsid w:val="007744F1"/>
    <w:rsid w:val="007765C0"/>
    <w:rsid w:val="00792695"/>
    <w:rsid w:val="0079496C"/>
    <w:rsid w:val="007972FB"/>
    <w:rsid w:val="007B20A9"/>
    <w:rsid w:val="007B2E1F"/>
    <w:rsid w:val="007B36CB"/>
    <w:rsid w:val="007B51A1"/>
    <w:rsid w:val="007B71AD"/>
    <w:rsid w:val="007C0AF6"/>
    <w:rsid w:val="007C2E22"/>
    <w:rsid w:val="007D0B2B"/>
    <w:rsid w:val="007D527A"/>
    <w:rsid w:val="007D591B"/>
    <w:rsid w:val="007E088F"/>
    <w:rsid w:val="007E2192"/>
    <w:rsid w:val="007F05DF"/>
    <w:rsid w:val="007F61F0"/>
    <w:rsid w:val="00802016"/>
    <w:rsid w:val="00810030"/>
    <w:rsid w:val="008100B4"/>
    <w:rsid w:val="00812A08"/>
    <w:rsid w:val="008139BC"/>
    <w:rsid w:val="008204BC"/>
    <w:rsid w:val="00851608"/>
    <w:rsid w:val="0085490F"/>
    <w:rsid w:val="008615C0"/>
    <w:rsid w:val="0086553E"/>
    <w:rsid w:val="00870331"/>
    <w:rsid w:val="00871245"/>
    <w:rsid w:val="008736E3"/>
    <w:rsid w:val="00875751"/>
    <w:rsid w:val="008A6E15"/>
    <w:rsid w:val="008B08F2"/>
    <w:rsid w:val="008B3A70"/>
    <w:rsid w:val="008B43E8"/>
    <w:rsid w:val="008C25E9"/>
    <w:rsid w:val="008D1925"/>
    <w:rsid w:val="008D30A2"/>
    <w:rsid w:val="008D3EB3"/>
    <w:rsid w:val="008D5885"/>
    <w:rsid w:val="00910A3C"/>
    <w:rsid w:val="00911C82"/>
    <w:rsid w:val="00912171"/>
    <w:rsid w:val="00912EC8"/>
    <w:rsid w:val="00917910"/>
    <w:rsid w:val="009217DC"/>
    <w:rsid w:val="0092347B"/>
    <w:rsid w:val="009253B0"/>
    <w:rsid w:val="00932D12"/>
    <w:rsid w:val="00936FA6"/>
    <w:rsid w:val="00937911"/>
    <w:rsid w:val="00940895"/>
    <w:rsid w:val="00940EB6"/>
    <w:rsid w:val="00945384"/>
    <w:rsid w:val="00964985"/>
    <w:rsid w:val="00972A88"/>
    <w:rsid w:val="00976DE2"/>
    <w:rsid w:val="0098691D"/>
    <w:rsid w:val="00997C51"/>
    <w:rsid w:val="009A11B4"/>
    <w:rsid w:val="009B029B"/>
    <w:rsid w:val="009D7EB7"/>
    <w:rsid w:val="009E1BAF"/>
    <w:rsid w:val="009E1C38"/>
    <w:rsid w:val="009F0BBF"/>
    <w:rsid w:val="00A003F5"/>
    <w:rsid w:val="00A00FD7"/>
    <w:rsid w:val="00A07F03"/>
    <w:rsid w:val="00A103AC"/>
    <w:rsid w:val="00A11D77"/>
    <w:rsid w:val="00A16018"/>
    <w:rsid w:val="00A17A10"/>
    <w:rsid w:val="00A20E55"/>
    <w:rsid w:val="00A263A2"/>
    <w:rsid w:val="00A2714B"/>
    <w:rsid w:val="00A303ED"/>
    <w:rsid w:val="00A32FBD"/>
    <w:rsid w:val="00A349B7"/>
    <w:rsid w:val="00A37520"/>
    <w:rsid w:val="00A4474D"/>
    <w:rsid w:val="00A512EF"/>
    <w:rsid w:val="00A64B0F"/>
    <w:rsid w:val="00A65BF1"/>
    <w:rsid w:val="00A77E78"/>
    <w:rsid w:val="00A92E3B"/>
    <w:rsid w:val="00AC1969"/>
    <w:rsid w:val="00AC3A2A"/>
    <w:rsid w:val="00AC76EE"/>
    <w:rsid w:val="00AC7739"/>
    <w:rsid w:val="00AE05EB"/>
    <w:rsid w:val="00AF10C3"/>
    <w:rsid w:val="00B02D89"/>
    <w:rsid w:val="00B03DD8"/>
    <w:rsid w:val="00B07E25"/>
    <w:rsid w:val="00B27734"/>
    <w:rsid w:val="00B339B7"/>
    <w:rsid w:val="00B343B8"/>
    <w:rsid w:val="00B40A3B"/>
    <w:rsid w:val="00B41221"/>
    <w:rsid w:val="00B41AFF"/>
    <w:rsid w:val="00B43C7E"/>
    <w:rsid w:val="00B54D27"/>
    <w:rsid w:val="00B77709"/>
    <w:rsid w:val="00B91957"/>
    <w:rsid w:val="00B943E8"/>
    <w:rsid w:val="00B959C9"/>
    <w:rsid w:val="00B9652D"/>
    <w:rsid w:val="00BD18B3"/>
    <w:rsid w:val="00BD6C00"/>
    <w:rsid w:val="00BE3AF6"/>
    <w:rsid w:val="00BE3CAE"/>
    <w:rsid w:val="00C12E6D"/>
    <w:rsid w:val="00C13E0A"/>
    <w:rsid w:val="00C1786B"/>
    <w:rsid w:val="00C21708"/>
    <w:rsid w:val="00C27513"/>
    <w:rsid w:val="00C30C2F"/>
    <w:rsid w:val="00C34407"/>
    <w:rsid w:val="00C35629"/>
    <w:rsid w:val="00C54040"/>
    <w:rsid w:val="00C6055B"/>
    <w:rsid w:val="00C67316"/>
    <w:rsid w:val="00C91C4B"/>
    <w:rsid w:val="00C95CF0"/>
    <w:rsid w:val="00CA3793"/>
    <w:rsid w:val="00CB20F9"/>
    <w:rsid w:val="00CC11C5"/>
    <w:rsid w:val="00CC3A4D"/>
    <w:rsid w:val="00CC3AA2"/>
    <w:rsid w:val="00CC48E1"/>
    <w:rsid w:val="00CC5518"/>
    <w:rsid w:val="00CD3DBE"/>
    <w:rsid w:val="00CE075B"/>
    <w:rsid w:val="00CE4D45"/>
    <w:rsid w:val="00CE68D5"/>
    <w:rsid w:val="00D07708"/>
    <w:rsid w:val="00D17521"/>
    <w:rsid w:val="00D31083"/>
    <w:rsid w:val="00D35A39"/>
    <w:rsid w:val="00D4603F"/>
    <w:rsid w:val="00D478D8"/>
    <w:rsid w:val="00D47E20"/>
    <w:rsid w:val="00D538A1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6C5F"/>
    <w:rsid w:val="00DD2C36"/>
    <w:rsid w:val="00DE6A65"/>
    <w:rsid w:val="00DE6C4A"/>
    <w:rsid w:val="00E10AD7"/>
    <w:rsid w:val="00E160F1"/>
    <w:rsid w:val="00E25BC6"/>
    <w:rsid w:val="00E3018C"/>
    <w:rsid w:val="00E41F49"/>
    <w:rsid w:val="00E42926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D5256"/>
    <w:rsid w:val="00EF1816"/>
    <w:rsid w:val="00EF5166"/>
    <w:rsid w:val="00F018F9"/>
    <w:rsid w:val="00F03FF4"/>
    <w:rsid w:val="00F0604F"/>
    <w:rsid w:val="00F142B0"/>
    <w:rsid w:val="00F234C1"/>
    <w:rsid w:val="00F26527"/>
    <w:rsid w:val="00F310DF"/>
    <w:rsid w:val="00F31DB9"/>
    <w:rsid w:val="00F36788"/>
    <w:rsid w:val="00F36EA7"/>
    <w:rsid w:val="00F447A3"/>
    <w:rsid w:val="00F47B31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04B4"/>
    <w:rsid w:val="00FD1CF0"/>
    <w:rsid w:val="00FD3433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D2"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2312</Words>
  <Characters>12718</Characters>
  <Application>Microsoft Office Word</Application>
  <DocSecurity>2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15001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Silvana Ghali</cp:lastModifiedBy>
  <cp:revision>193</cp:revision>
  <cp:lastPrinted>2023-09-15T08:35:00Z</cp:lastPrinted>
  <dcterms:created xsi:type="dcterms:W3CDTF">2023-09-15T08:28:00Z</dcterms:created>
  <dcterms:modified xsi:type="dcterms:W3CDTF">2025-09-16T16:10:00Z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